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宜昌市建筑装饰协会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薪酬标准及管理办法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加强协会薪酬管理，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保障协会员工薪资待遇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协会工作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健康稳定发展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根据《中华人民共和国劳动法》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协会实际情况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制定本办法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第一章  总  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本</w:t>
      </w:r>
      <w:bookmarkStart w:id="0" w:name="baidusnap1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薪酬标准和管理办法是协会工作人员薪酬发放的准则和依据。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协会薪酬管理的原则是：公平、公正、合法、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40" w:right="0" w:hanging="640" w:hanging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合规、竞争、激励。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为保证协会人员经费、正常办公和必要的业务活动支出，本届理事会设立年总收入最低控制线为30万元。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工作人员工资、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社保、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福利和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奖金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不得超过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当年总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第五条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本办法适用协会第五届理事会秘书处工作人员。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协会薪酬管理工作在财务管理领导小组的领导下，由秘书长负责组织实施。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第二章  薪酬标准与发放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协会外聘的秘书处高级管理人员（常务副秘书长职务及以上）的薪酬待遇由双方商定。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一般工作人员的月工资以现实发数为基数，分为基础工资（应发数-绩效工资-交通补贴-通讯补贴）、绩效工资（1000元/月）、交通补贴（200元/月）、通讯补贴（200元/月）、奖励工资（按当年目标责任制考核情况确定）五个部分组成。奖励工资数额最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不超过个人当年薪酬总额的20%。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绩效工资应与当年目标责任制挂钩，挂钩比例和考核办法由当年目标责任制确定。原则上，当年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总收入低于最低控制线的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绩效挂钩部分为零。奖励工资以超额完成当年收入目标任务的部分为基数，按目标责任制确定的比例提取并按贡献大小分档次发放。基础工资、交通补贴、通讯补贴绩效工资非挂钩部分按月发放；绩效工资挂钩部分和奖励工资年终考核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协会新招聘工作人员，基础工资双方协商约定，绩效工资从试用期满的次月开始计算，挂钩部分年终考核计发；试用期为1个月；试用期间，只发基础工资。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第三章   薪酬标准的调整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协会工作人员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调增调减基础工资和增减补贴项目及数额，需经协会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财务领导小组讨论通过。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第四章   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十二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条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协会按规定为工作人员缴纳社会保险，缴纳社会保险的申报基数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不低于本市上年度在岗职工月平均工资60%，具体申报基数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由协会财务领导小组讨论决定。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个人负担部分由本会从个人工资中扣除后，统一缴纳。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协会专职工作人员享受一周双休和国家法定节假日休息待遇。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在协会经济条件许可的前提下发放误餐补助，标准为15元/天，按当月考勤记载的实际出勤天数计算（接待和会议除外），次月发放，不计入工资总额。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根据国家规定，连续工龄20年以上者，每年带薪休假15天；连续工龄10年至2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0年带薪休假10天；连续工龄5年至10年带薪休假7天；连续工龄1-5年带薪休假3天。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事假按日扣发工资，或冲抵年休假天数，超过年休假天数的，按超过天数计算扣发日工资。（日工资=月/年工资总额÷月/年应出勤天数）。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短时病假（1-5天）不扣发工资，但需提供二级以上医院诊断证明，不能提供相关证明的，按事假处理。长期病假，按相关法规执行。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其他福利根据国家政策和本会实际情况确定。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第五章   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奖惩制度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每年年终进行一次考评，对认真、按时完成工作任务者，按目标责任制发放年终奖励工资。对特别突出、贡献较大者，经秘书长提议、财务领导小组批准，可以增加奖励工资数额；对没有按时完成工作任务，并造成一定损失或者影响者，经秘书长提议，报财务领导小组批准，研究，扣除一定比例奖励工资或降低基础工资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第二十条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无故迟到半天，扣发当月工资50元；旷工1天，扣发双倍当日工资；连续旷工3天，予以除名。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第六章    附  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当月工资次月发放，发放时间日期为每月第2周；绩效工资挂钩部分和年终奖励工资在次年1月15日左右发放。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工资发放形式：现金或转个人银行卡。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本《薪酬标准及管理办法》经常务理事会讨论通过后实施。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本《薪酬标准及管理办法》解释权归协会财务工作领导小组。 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协会秘书处工作人员工资社保改革方案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（4月1日讨论后修改）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改革的依据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国家法律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法规和政策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本会章程（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本会专职工作人员的工资和保险、福利待遇，参照国家对事业单位的有关规定执行或由理事会决定。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（三）《宜昌市建筑装饰协会薪酬标准与管理办法》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二、改革的必要性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（一）协会自成立或脱钩以来，未建立薪酬管理制度；没有工资、社保、福利等发放办法；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（二）现有工作人员的工资数额及结构，系原装饰办参照事业单位的有关规定确定的，不适应脱钩后协会新的管理体制，不利于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会对工作人员考核和奖惩；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（三）现有工作人员工资结构及发放办法不利于职工工资的调整。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三、改革的原则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（一）独立自主的建立协会自己的薪酬管理体系；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（二）依据协会的收入来源和负担能力，合理确定协会职工工资总额；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（三）处理历史遗留问题宜粗不宜细；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（四）在协会负担能力许可范围内，改革后的职工待遇不低于现有收入水平。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（五）薪酬与业绩相关联。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四、协会年收入、支出和职工工资总额测算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（一）近三年会员缴费情况和会费收入情况。协会收入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主要来源为会费收入和服务性收入。2016年，协会会员总数137家，77家缴费，缴费率为56.2%；会费收入为24.1万元；2017年会员数154家，49家缴费，缴费率31.8%；会费收入为18.5万元；2018年会员数为173家，103家，缴费率59.5%，会费收入为42.6万元。三年平均缴费率49.4%，年均会费收入为28.4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二）今后后五年年均会费收入测算。2018年12月，协会换届选举，通过重新登记，第五届会员数为162家，全部费源数为46.7万元。正常情况下，常务理事和监事会主任按100%缴费率计算，其余人员按70%的缴费率计算（比三年平均数增长20%），合计实收数额约为36.5万元，（比前三年平均数增长28.5%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（三）协会办公经费测算。按目前实际办公经费估算，房租、水电、物业、宽带、耗材等费用每月约需3000.00元，全年约需4万元（不含购置费用）。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今后五年协会工作人员工工资总额测算。协会现有工作人员3人，按2018年12月月工资总额和月缴社保总额计算，共计15060元，加上误餐补贴共计990元，总计月人头费用为16060元，月人均5350元，全年总人头费用为19.27万元，人均6.24万元（不含年底奖金）。今后，随着协会工作任务和工作量的加大，工作人员还要增加1--2人，人头费用则还要增加6.3--12.5万元，不含工资增长部分和年底奖金部分，人头经费总数将达到25.5—31.7万元，分别占预测收入的69.9%和86.9%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五、职工工资总额控制线和年收入最低控制线。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协会收入绝大部分来源于会费，应做到取之于会员用之于会员，每年收入中人员工资和正常办公经费外，还要用一部分开展服务会员的业务活动，不能全部用于人头费用和办公。因此，有必要规定工资总额控制线和收入最低控制线。根据协会的实际情况，建议将人员经费总额控制在年总收入的65%以内；年收入最低控制线按工作人员数量划定，3人不低于30万元，4人不低于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六、协会秘书处工作人员薪酬形式及确定方式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根据《宜昌市建筑装饰协会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薪酬标准和管理办法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对现有工作人员刘青正和王晓敏的工资形式和工资结构进行调整，实行固定+绩效+奖励的工资形式，工资结构由基础工资+绩效工资+交通补贴+通讯补贴+奖励工资五部分组成。将现每月实发数分解为交通补贴200元/月；通讯补贴200元/月；绩效工资1000元/月（绩效工资与当年目标责任制挂钩，挂钩比例和考核办法按当年目标责任制规定执行）；奖励工资按当年目标责任制考核确定。其它补贴和福利由协会视当年经济状况另行研究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（二）对外聘的秘书处高级管理人员，实行月固定工资制，具体数额由双方协商确定；其它补贴和奖金由协会视当年经济状况和工作贡献另行研究决定。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三）今后新招聘一般工作人员，均实行固定+绩效+奖励的工资形式，工资结构由基础工资+绩效工资+交通补贴+通讯补贴+奖励工资五部分组成。基础工资数额视双方合同约定的薪酬总额，减去绩效工资、交通补贴、通讯补贴后的数额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七、劳动合同和社会保险费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lang w:val="en-US" w:eastAsia="zh-CN"/>
        </w:rPr>
        <w:t>（一）协会所有工作人员都必须签订劳动合同，</w:t>
      </w:r>
      <w:r>
        <w:rPr>
          <w:rFonts w:ascii="Arial" w:hAnsi="Arial" w:eastAsia="宋体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确立</w:t>
      </w:r>
      <w:r>
        <w:rPr>
          <w:rStyle w:val="9"/>
          <w:rFonts w:hint="default" w:ascii="Arial" w:hAnsi="Arial" w:eastAsia="宋体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劳动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关系，明确双方的权利和义务。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协会给专职工作人员购买社会保</w:t>
      </w:r>
      <w:r>
        <w:rPr>
          <w:rFonts w:hint="eastAsia"/>
          <w:sz w:val="32"/>
          <w:szCs w:val="32"/>
          <w:lang w:val="en-US" w:eastAsia="zh-CN"/>
        </w:rPr>
        <w:t>险，</w:t>
      </w:r>
      <w:r>
        <w:rPr>
          <w:rFonts w:hint="eastAsia"/>
          <w:sz w:val="32"/>
          <w:szCs w:val="32"/>
          <w:vertAlign w:val="baseline"/>
          <w:lang w:val="en-US" w:eastAsia="zh-CN"/>
        </w:rPr>
        <w:t>缴费基数不得低于本市上年度职工工资总额的60%，</w:t>
      </w:r>
      <w:r>
        <w:rPr>
          <w:rFonts w:hint="eastAsia"/>
          <w:sz w:val="32"/>
          <w:szCs w:val="32"/>
          <w:lang w:val="en-US" w:eastAsia="zh-CN"/>
        </w:rPr>
        <w:t>具体项目为</w:t>
      </w:r>
      <w:r>
        <w:rPr>
          <w:rFonts w:hint="eastAsia"/>
          <w:sz w:val="32"/>
          <w:szCs w:val="32"/>
          <w:vertAlign w:val="baseline"/>
          <w:lang w:val="en-US" w:eastAsia="zh-CN"/>
        </w:rPr>
        <w:t>养老保险、医疗保险、失业保险、生育保险、工伤保险、大额医疗，单位和个人的缴费数额按规定的比例计算确定。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八、绩效工资和奖金的考核与发放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（一）当年总收入低于最低控制线（30万元），挂钩考核的绩效工资为零。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（二）年收入总目标每年初根据实际情况合理确定，并制定目标责任制。当年总收入达到最低控制线但未达到当年总收入目标，按实际完成总目标的百分比计发绩效工资。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（三）超额完成当年收入总目标的部分，按15%—20%提取奖励资金，根据工作人员的表现和贡献评定等级发放，不得平均发放。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A89EB"/>
    <w:multiLevelType w:val="singleLevel"/>
    <w:tmpl w:val="DEFA89E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234B1"/>
    <w:rsid w:val="03437F84"/>
    <w:rsid w:val="114352A4"/>
    <w:rsid w:val="1A1243D5"/>
    <w:rsid w:val="637234B1"/>
    <w:rsid w:val="6ED0085A"/>
    <w:rsid w:val="703B5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2019-04-02T00:44:00Z</dcterms:created>
  <dc:creator>任宜平</dc:creator>
  <cp:lastModifiedBy>小树林1394251122</cp:lastModifiedBy>
  <dcterms:modified xsi:type="dcterms:W3CDTF">2019-06-12T08:47:19Z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