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20" w:lineRule="exact"/>
        <w:jc w:val="center"/>
        <w:rPr>
          <w:rFonts w:ascii="仿宋_GB2312" w:hAnsi="宋体" w:eastAsia="仿宋_GB2312"/>
          <w:b/>
          <w:sz w:val="36"/>
          <w:szCs w:val="36"/>
        </w:rPr>
      </w:pPr>
      <w:bookmarkStart w:id="0" w:name="_GoBack"/>
      <w:bookmarkEnd w:id="0"/>
      <w:r>
        <w:rPr>
          <w:rFonts w:hint="eastAsia" w:ascii="仿宋_GB2312" w:hAnsi="宋体" w:eastAsia="仿宋_GB2312"/>
          <w:b/>
          <w:sz w:val="36"/>
          <w:szCs w:val="36"/>
        </w:rPr>
        <w:t>附件一：装饰装修工程施工招投标规则及评标诚信运用意见征集问卷意见汇总表</w:t>
      </w:r>
    </w:p>
    <w:p>
      <w:pPr>
        <w:spacing w:line="520" w:lineRule="exact"/>
        <w:jc w:val="center"/>
        <w:rPr>
          <w:rFonts w:ascii="仿宋_GB2312" w:hAnsi="宋体" w:eastAsia="仿宋_GB2312"/>
          <w:b/>
          <w:sz w:val="36"/>
          <w:szCs w:val="36"/>
        </w:rPr>
      </w:pPr>
    </w:p>
    <w:tbl>
      <w:tblPr>
        <w:tblStyle w:val="5"/>
        <w:tblW w:w="8364"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843"/>
        <w:gridCol w:w="65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48" w:hRule="atLeast"/>
        </w:trPr>
        <w:tc>
          <w:tcPr>
            <w:tcW w:w="1843" w:type="dxa"/>
            <w:vAlign w:val="center"/>
          </w:tcPr>
          <w:p>
            <w:pPr>
              <w:jc w:val="center"/>
            </w:pPr>
            <w:r>
              <w:rPr>
                <w:rFonts w:hint="eastAsia"/>
              </w:rPr>
              <w:t>问题</w:t>
            </w:r>
          </w:p>
        </w:tc>
        <w:tc>
          <w:tcPr>
            <w:tcW w:w="6521" w:type="dxa"/>
            <w:vAlign w:val="center"/>
          </w:tcPr>
          <w:p>
            <w:pPr>
              <w:jc w:val="center"/>
            </w:pPr>
            <w:r>
              <w:rPr>
                <w:rFonts w:hint="eastAsia"/>
              </w:rPr>
              <w:t>意见内容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44" w:hRule="atLeast"/>
        </w:trPr>
        <w:tc>
          <w:tcPr>
            <w:tcW w:w="1843" w:type="dxa"/>
            <w:vMerge w:val="restart"/>
            <w:vAlign w:val="center"/>
          </w:tcPr>
          <w:p>
            <w:pPr>
              <w:spacing w:line="360" w:lineRule="auto"/>
              <w:rPr>
                <w:rFonts w:asciiTheme="minorEastAsia" w:hAnsiTheme="minorEastAsia"/>
                <w:sz w:val="18"/>
                <w:szCs w:val="18"/>
              </w:rPr>
            </w:pPr>
            <w:r>
              <w:rPr>
                <w:rFonts w:hint="eastAsia" w:ascii="宋体" w:hAnsi="宋体"/>
                <w:sz w:val="18"/>
                <w:szCs w:val="18"/>
              </w:rPr>
              <w:t>目前装饰装修企业在招投标过程中存在哪些问题和困难？</w:t>
            </w:r>
          </w:p>
        </w:tc>
        <w:tc>
          <w:tcPr>
            <w:tcW w:w="6521" w:type="dxa"/>
          </w:tcPr>
          <w:p>
            <w:pPr>
              <w:spacing w:line="360" w:lineRule="auto"/>
              <w:rPr>
                <w:rFonts w:asciiTheme="minorEastAsia" w:hAnsiTheme="minorEastAsia"/>
                <w:sz w:val="18"/>
                <w:szCs w:val="18"/>
              </w:rPr>
            </w:pPr>
            <w:r>
              <w:rPr>
                <w:rFonts w:hint="eastAsia" w:asciiTheme="minorEastAsia" w:hAnsiTheme="minorEastAsia"/>
                <w:sz w:val="18"/>
                <w:szCs w:val="18"/>
              </w:rPr>
              <w:t>1、大部分装饰装修项目招标均含在主体工程项目标内，纯装饰装修项目标较少；</w:t>
            </w:r>
          </w:p>
          <w:p>
            <w:pPr>
              <w:spacing w:line="360" w:lineRule="auto"/>
              <w:rPr>
                <w:rFonts w:asciiTheme="minorEastAsia" w:hAnsiTheme="minorEastAsia"/>
                <w:sz w:val="18"/>
                <w:szCs w:val="18"/>
              </w:rPr>
            </w:pPr>
            <w:r>
              <w:rPr>
                <w:rFonts w:hint="eastAsia" w:asciiTheme="minorEastAsia" w:hAnsiTheme="minorEastAsia"/>
                <w:sz w:val="18"/>
                <w:szCs w:val="18"/>
              </w:rPr>
              <w:t>2、市场装饰装修人工费较高，定额人工费偏低。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94" w:hRule="atLeast"/>
        </w:trPr>
        <w:tc>
          <w:tcPr>
            <w:tcW w:w="1843" w:type="dxa"/>
            <w:vMerge w:val="continue"/>
          </w:tcPr>
          <w:p>
            <w:pPr>
              <w:rPr>
                <w:sz w:val="18"/>
                <w:szCs w:val="18"/>
              </w:rPr>
            </w:pPr>
          </w:p>
        </w:tc>
        <w:tc>
          <w:tcPr>
            <w:tcW w:w="6521" w:type="dxa"/>
          </w:tcPr>
          <w:p>
            <w:pPr>
              <w:spacing w:line="360" w:lineRule="auto"/>
              <w:rPr>
                <w:rFonts w:asciiTheme="minorEastAsia" w:hAnsiTheme="minorEastAsia"/>
                <w:sz w:val="18"/>
                <w:szCs w:val="18"/>
              </w:rPr>
            </w:pPr>
            <w:r>
              <w:rPr>
                <w:rFonts w:hint="eastAsia" w:asciiTheme="minorEastAsia" w:hAnsiTheme="minorEastAsia"/>
                <w:sz w:val="18"/>
                <w:szCs w:val="18"/>
              </w:rPr>
              <w:t>1、项目中标靠渠道和关系。</w:t>
            </w:r>
          </w:p>
          <w:p>
            <w:pPr>
              <w:spacing w:line="360" w:lineRule="auto"/>
              <w:rPr>
                <w:rFonts w:asciiTheme="minorEastAsia" w:hAnsiTheme="minorEastAsia"/>
                <w:sz w:val="18"/>
                <w:szCs w:val="18"/>
              </w:rPr>
            </w:pPr>
            <w:r>
              <w:rPr>
                <w:rFonts w:hint="eastAsia" w:asciiTheme="minorEastAsia" w:hAnsiTheme="minorEastAsia"/>
                <w:sz w:val="18"/>
                <w:szCs w:val="18"/>
              </w:rPr>
              <w:t>2、本地企业或个人，借用挂靠外地资质中标，严重干扰投标、中标秩序。</w:t>
            </w:r>
          </w:p>
          <w:p>
            <w:pPr>
              <w:spacing w:line="360" w:lineRule="auto"/>
              <w:rPr>
                <w:rFonts w:asciiTheme="minorEastAsia" w:hAnsiTheme="minorEastAsia"/>
                <w:sz w:val="18"/>
                <w:szCs w:val="18"/>
              </w:rPr>
            </w:pPr>
            <w:r>
              <w:rPr>
                <w:rFonts w:hint="eastAsia" w:asciiTheme="minorEastAsia" w:hAnsiTheme="minorEastAsia"/>
                <w:sz w:val="18"/>
                <w:szCs w:val="18"/>
              </w:rPr>
              <w:t>3、招标方式不合理，可采取有条件有指向的邀标/询价式投标方式</w:t>
            </w:r>
          </w:p>
          <w:p>
            <w:pPr>
              <w:spacing w:line="360" w:lineRule="auto"/>
              <w:rPr>
                <w:rFonts w:asciiTheme="minorEastAsia" w:hAnsiTheme="minorEastAsia"/>
                <w:sz w:val="18"/>
                <w:szCs w:val="18"/>
              </w:rPr>
            </w:pPr>
            <w:r>
              <w:rPr>
                <w:rFonts w:hint="eastAsia" w:asciiTheme="minorEastAsia" w:hAnsiTheme="minorEastAsia"/>
                <w:sz w:val="18"/>
                <w:szCs w:val="18"/>
              </w:rPr>
              <w:t>4、企业在招投标中费用较大。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34" w:hRule="atLeast"/>
        </w:trPr>
        <w:tc>
          <w:tcPr>
            <w:tcW w:w="1843" w:type="dxa"/>
            <w:vMerge w:val="continue"/>
          </w:tcPr>
          <w:p>
            <w:pPr/>
          </w:p>
        </w:tc>
        <w:tc>
          <w:tcPr>
            <w:tcW w:w="6521" w:type="dxa"/>
            <w:vAlign w:val="center"/>
          </w:tcPr>
          <w:p>
            <w:pPr>
              <w:spacing w:line="360" w:lineRule="auto"/>
              <w:rPr>
                <w:rFonts w:asciiTheme="minorEastAsia" w:hAnsiTheme="minorEastAsia"/>
                <w:sz w:val="18"/>
                <w:szCs w:val="18"/>
              </w:rPr>
            </w:pPr>
            <w:r>
              <w:rPr>
                <w:rFonts w:hint="eastAsia" w:asciiTheme="minorEastAsia" w:hAnsiTheme="minorEastAsia"/>
                <w:sz w:val="18"/>
                <w:szCs w:val="18"/>
              </w:rPr>
              <w:t>1、评标只看报价，报价最低者中标；</w:t>
            </w:r>
          </w:p>
          <w:p>
            <w:pPr>
              <w:spacing w:line="360" w:lineRule="auto"/>
              <w:rPr>
                <w:rFonts w:asciiTheme="minorEastAsia" w:hAnsiTheme="minorEastAsia"/>
                <w:sz w:val="18"/>
                <w:szCs w:val="18"/>
              </w:rPr>
            </w:pPr>
            <w:r>
              <w:rPr>
                <w:rFonts w:hint="eastAsia" w:asciiTheme="minorEastAsia" w:hAnsiTheme="minorEastAsia"/>
                <w:sz w:val="18"/>
                <w:szCs w:val="18"/>
              </w:rPr>
              <w:t>2、招标机构给出的施工图纸存在漏项、做法不明确等问题，导致后期施工过程中，出现大量的工程变更、现场签证等问题；</w:t>
            </w:r>
          </w:p>
          <w:p>
            <w:pPr>
              <w:spacing w:line="360" w:lineRule="auto"/>
              <w:rPr>
                <w:rFonts w:asciiTheme="minorEastAsia" w:hAnsiTheme="minorEastAsia"/>
                <w:sz w:val="18"/>
                <w:szCs w:val="18"/>
              </w:rPr>
            </w:pPr>
            <w:r>
              <w:rPr>
                <w:rFonts w:hint="eastAsia" w:asciiTheme="minorEastAsia" w:hAnsiTheme="minorEastAsia"/>
                <w:sz w:val="18"/>
                <w:szCs w:val="18"/>
              </w:rPr>
              <w:t>3、对未指定材料品牌的项目，评标办法不明确，导致各家所报价差异很大。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34" w:hRule="atLeast"/>
        </w:trPr>
        <w:tc>
          <w:tcPr>
            <w:tcW w:w="1843" w:type="dxa"/>
            <w:vMerge w:val="continue"/>
          </w:tcPr>
          <w:p>
            <w:pPr/>
          </w:p>
        </w:tc>
        <w:tc>
          <w:tcPr>
            <w:tcW w:w="6521" w:type="dxa"/>
            <w:vAlign w:val="center"/>
          </w:tcPr>
          <w:p>
            <w:pPr>
              <w:spacing w:line="360" w:lineRule="auto"/>
              <w:rPr>
                <w:rFonts w:asciiTheme="minorEastAsia" w:hAnsiTheme="minorEastAsia"/>
                <w:sz w:val="18"/>
                <w:szCs w:val="18"/>
              </w:rPr>
            </w:pPr>
            <w:r>
              <w:rPr>
                <w:rFonts w:hint="eastAsia" w:asciiTheme="minorEastAsia" w:hAnsiTheme="minorEastAsia"/>
                <w:sz w:val="18"/>
                <w:szCs w:val="18"/>
              </w:rPr>
              <w:t>1、设计方面的招投标没有设计费专项报价及设计费报价行业标准。</w:t>
            </w:r>
          </w:p>
          <w:p>
            <w:pPr>
              <w:spacing w:line="360" w:lineRule="auto"/>
              <w:rPr>
                <w:rFonts w:asciiTheme="minorEastAsia" w:hAnsiTheme="minorEastAsia"/>
                <w:sz w:val="18"/>
                <w:szCs w:val="18"/>
              </w:rPr>
            </w:pPr>
            <w:r>
              <w:rPr>
                <w:rFonts w:hint="eastAsia" w:asciiTheme="minorEastAsia" w:hAnsiTheme="minorEastAsia"/>
                <w:sz w:val="18"/>
                <w:szCs w:val="18"/>
              </w:rPr>
              <w:t>2、设计图审查没有专业评审机构。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trHeight w:val="2120" w:hRule="atLeast"/>
        </w:trPr>
        <w:tc>
          <w:tcPr>
            <w:tcW w:w="1843" w:type="dxa"/>
            <w:vMerge w:val="restart"/>
          </w:tcPr>
          <w:p>
            <w:pPr>
              <w:spacing w:line="360" w:lineRule="auto"/>
              <w:rPr>
                <w:rFonts w:asciiTheme="minorEastAsia" w:hAnsiTheme="minorEastAsia"/>
                <w:sz w:val="18"/>
                <w:szCs w:val="18"/>
              </w:rPr>
            </w:pPr>
            <w:r>
              <w:rPr>
                <w:rFonts w:hint="eastAsia" w:ascii="宋体" w:hAnsi="宋体"/>
                <w:sz w:val="18"/>
                <w:szCs w:val="18"/>
              </w:rPr>
              <w:t>现行的《宜昌市城区房屋建筑和市政基础设施工程施工招标评标办法》及评审细则是否适用于装饰装修工程，若不适用请提出意见和建议。</w:t>
            </w:r>
          </w:p>
        </w:tc>
        <w:tc>
          <w:tcPr>
            <w:tcW w:w="6521" w:type="dxa"/>
          </w:tcPr>
          <w:p>
            <w:pPr>
              <w:spacing w:line="360" w:lineRule="auto"/>
              <w:rPr>
                <w:rFonts w:asciiTheme="minorEastAsia" w:hAnsiTheme="minorEastAsia"/>
                <w:sz w:val="18"/>
                <w:szCs w:val="18"/>
              </w:rPr>
            </w:pPr>
            <w:r>
              <w:rPr>
                <w:rFonts w:hint="eastAsia" w:asciiTheme="minorEastAsia" w:hAnsiTheme="minorEastAsia"/>
                <w:sz w:val="18"/>
                <w:szCs w:val="18"/>
              </w:rPr>
              <w:t>1、上述《办法》与装饰行业施工内容差异很大。</w:t>
            </w:r>
          </w:p>
          <w:p>
            <w:pPr>
              <w:spacing w:line="360" w:lineRule="auto"/>
              <w:rPr>
                <w:rFonts w:asciiTheme="minorEastAsia" w:hAnsiTheme="minorEastAsia"/>
                <w:sz w:val="18"/>
                <w:szCs w:val="18"/>
              </w:rPr>
            </w:pPr>
            <w:r>
              <w:rPr>
                <w:rFonts w:hint="eastAsia" w:asciiTheme="minorEastAsia" w:hAnsiTheme="minorEastAsia"/>
                <w:sz w:val="18"/>
                <w:szCs w:val="18"/>
              </w:rPr>
              <w:t>2、上述《办法》不同的两种工程内容融合一起，混合编制规定条例；</w:t>
            </w:r>
          </w:p>
          <w:p>
            <w:pPr>
              <w:spacing w:line="360" w:lineRule="auto"/>
              <w:rPr>
                <w:rFonts w:asciiTheme="minorEastAsia" w:hAnsiTheme="minorEastAsia"/>
                <w:sz w:val="18"/>
                <w:szCs w:val="18"/>
              </w:rPr>
            </w:pPr>
            <w:r>
              <w:rPr>
                <w:rFonts w:hint="eastAsia" w:asciiTheme="minorEastAsia" w:hAnsiTheme="minorEastAsia"/>
                <w:sz w:val="18"/>
                <w:szCs w:val="18"/>
              </w:rPr>
              <w:t>3、建议装饰工程的《办法》重新拟定发布。把《宜昌市城区房屋建筑和市政基础设施工程施工招标评标办法》中涉及装饰部分的内容提炼出去放在后面装饰《办法》中去。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33" w:hRule="atLeast"/>
        </w:trPr>
        <w:tc>
          <w:tcPr>
            <w:tcW w:w="1843" w:type="dxa"/>
            <w:vMerge w:val="continue"/>
          </w:tcPr>
          <w:p>
            <w:pPr>
              <w:spacing w:line="360" w:lineRule="auto"/>
              <w:rPr>
                <w:rFonts w:asciiTheme="minorEastAsia" w:hAnsiTheme="minorEastAsia"/>
                <w:sz w:val="20"/>
                <w:szCs w:val="18"/>
              </w:rPr>
            </w:pPr>
          </w:p>
        </w:tc>
        <w:tc>
          <w:tcPr>
            <w:tcW w:w="6521" w:type="dxa"/>
            <w:vAlign w:val="center"/>
          </w:tcPr>
          <w:p>
            <w:pPr>
              <w:spacing w:line="360" w:lineRule="auto"/>
              <w:rPr>
                <w:rFonts w:asciiTheme="minorEastAsia" w:hAnsiTheme="minorEastAsia"/>
                <w:sz w:val="20"/>
                <w:szCs w:val="18"/>
              </w:rPr>
            </w:pPr>
            <w:r>
              <w:rPr>
                <w:rFonts w:hint="eastAsia" w:asciiTheme="minorEastAsia" w:hAnsiTheme="minorEastAsia"/>
                <w:sz w:val="20"/>
                <w:szCs w:val="18"/>
              </w:rPr>
              <w:t>装饰装修工程应更具备专业性、审美性及投资额度，《办法》不适用装饰工程。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34" w:hRule="atLeast"/>
        </w:trPr>
        <w:tc>
          <w:tcPr>
            <w:tcW w:w="1843" w:type="dxa"/>
          </w:tcPr>
          <w:p>
            <w:pPr>
              <w:spacing w:line="360" w:lineRule="auto"/>
              <w:rPr>
                <w:rFonts w:ascii="宋体" w:hAnsi="宋体"/>
                <w:sz w:val="18"/>
                <w:szCs w:val="18"/>
              </w:rPr>
            </w:pPr>
            <w:r>
              <w:rPr>
                <w:rFonts w:hint="eastAsia" w:ascii="宋体" w:hAnsi="宋体"/>
                <w:sz w:val="18"/>
                <w:szCs w:val="18"/>
              </w:rPr>
              <w:t>《宜昌市建设工程企业信用信息管理办法》中《宜昌市建筑装饰装修企业良好行为记分标准》是否全面、适用，请提出意见建议。</w:t>
            </w:r>
          </w:p>
        </w:tc>
        <w:tc>
          <w:tcPr>
            <w:tcW w:w="6521" w:type="dxa"/>
            <w:vAlign w:val="center"/>
          </w:tcPr>
          <w:p>
            <w:pPr>
              <w:spacing w:line="360" w:lineRule="auto"/>
              <w:rPr>
                <w:rFonts w:asciiTheme="minorEastAsia" w:hAnsiTheme="minorEastAsia"/>
                <w:sz w:val="20"/>
                <w:szCs w:val="18"/>
              </w:rPr>
            </w:pPr>
            <w:r>
              <w:rPr>
                <w:rFonts w:hint="eastAsia" w:asciiTheme="minorEastAsia" w:hAnsiTheme="minorEastAsia"/>
                <w:sz w:val="20"/>
                <w:szCs w:val="18"/>
              </w:rPr>
              <w:t>1、装饰企业良好行为记分评定应加大，获奖工程、企业诚信、业主评分、企业负债率、专业专项技术骨干数量都是记分标准。</w:t>
            </w:r>
          </w:p>
          <w:p>
            <w:pPr>
              <w:spacing w:line="360" w:lineRule="auto"/>
              <w:rPr>
                <w:rFonts w:ascii="宋体" w:hAnsi="宋体"/>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55" w:hRule="atLeast"/>
        </w:trPr>
        <w:tc>
          <w:tcPr>
            <w:tcW w:w="1843" w:type="dxa"/>
          </w:tcPr>
          <w:p>
            <w:pPr>
              <w:spacing w:line="360" w:lineRule="auto"/>
              <w:rPr>
                <w:rFonts w:ascii="宋体" w:hAnsi="宋体"/>
                <w:sz w:val="18"/>
                <w:szCs w:val="18"/>
              </w:rPr>
            </w:pPr>
            <w:r>
              <w:rPr>
                <w:rFonts w:hint="eastAsia" w:ascii="宋体" w:hAnsi="宋体"/>
                <w:sz w:val="18"/>
                <w:szCs w:val="18"/>
              </w:rPr>
              <w:t>关于装饰装修工程施工招投标规则及评标诚信运用的其他意见建议。</w:t>
            </w:r>
          </w:p>
        </w:tc>
        <w:tc>
          <w:tcPr>
            <w:tcW w:w="6521" w:type="dxa"/>
            <w:vAlign w:val="center"/>
          </w:tcPr>
          <w:p>
            <w:pPr>
              <w:spacing w:line="360" w:lineRule="auto"/>
              <w:rPr>
                <w:rFonts w:asciiTheme="minorEastAsia" w:hAnsiTheme="minorEastAsia"/>
                <w:sz w:val="20"/>
                <w:szCs w:val="18"/>
              </w:rPr>
            </w:pPr>
            <w:r>
              <w:rPr>
                <w:rFonts w:hint="eastAsia" w:asciiTheme="minorEastAsia" w:hAnsiTheme="minorEastAsia"/>
                <w:sz w:val="20"/>
                <w:szCs w:val="18"/>
              </w:rPr>
              <w:t>1、装饰装修作为一个专业承包资质，建议多针对工程的专业性在公司业绩方面增加评标分值比例。</w:t>
            </w:r>
          </w:p>
          <w:p>
            <w:pPr>
              <w:spacing w:line="360" w:lineRule="auto"/>
              <w:ind w:firstLine="400" w:firstLineChars="200"/>
              <w:rPr>
                <w:rFonts w:asciiTheme="minorEastAsia" w:hAnsiTheme="minorEastAsia"/>
                <w:sz w:val="20"/>
                <w:szCs w:val="18"/>
              </w:rPr>
            </w:pPr>
          </w:p>
        </w:tc>
      </w:tr>
    </w:tbl>
    <w:p>
      <w:pPr>
        <w:spacing w:line="520" w:lineRule="exact"/>
        <w:rPr>
          <w:rFonts w:ascii="仿宋_GB2312" w:eastAsia="仿宋_GB2312"/>
          <w:sz w:val="28"/>
          <w:szCs w:val="28"/>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RomanS"/>
    <w:panose1 w:val="02040503050406030204"/>
    <w:charset w:val="00"/>
    <w:family w:val="modern"/>
    <w:pitch w:val="default"/>
    <w:sig w:usb0="00000000" w:usb1="00000000" w:usb2="00000000" w:usb3="00000000" w:csb0="0000019F" w:csb1="00000000"/>
  </w:font>
  <w:font w:name="Calibri">
    <w:altName w:val="微软雅黑"/>
    <w:panose1 w:val="020F0502020204030204"/>
    <w:charset w:val="00"/>
    <w:family w:val="decorative"/>
    <w:pitch w:val="default"/>
    <w:sig w:usb0="00000000" w:usb1="00000000" w:usb2="00000001" w:usb3="00000000" w:csb0="0000019F" w:csb1="00000000"/>
  </w:font>
  <w:font w:name="RomanS">
    <w:panose1 w:val="02000400000000000000"/>
    <w:charset w:val="00"/>
    <w:family w:val="auto"/>
    <w:pitch w:val="default"/>
    <w:sig w:usb0="00000207" w:usb1="00000000" w:usb2="00000000" w:usb3="00000000" w:csb0="000001FF" w:csb1="00000000"/>
  </w:font>
  <w:font w:name="微软雅黑">
    <w:panose1 w:val="020B0503020204020204"/>
    <w:charset w:val="86"/>
    <w:family w:val="auto"/>
    <w:pitch w:val="default"/>
    <w:sig w:usb0="80000287" w:usb1="2A0F3C52" w:usb2="00000016" w:usb3="00000000" w:csb0="0004001F" w:csb1="00000000"/>
  </w:font>
  <w:font w:name="仿宋">
    <w:altName w:val="仿宋_GB2312"/>
    <w:panose1 w:val="02010609060101010101"/>
    <w:charset w:val="86"/>
    <w:family w:val="swiss"/>
    <w:pitch w:val="default"/>
    <w:sig w:usb0="00000000" w:usb1="00000000"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微软雅黑">
    <w:panose1 w:val="020B0503020204020204"/>
    <w:charset w:val="86"/>
    <w:family w:val="decorative"/>
    <w:pitch w:val="default"/>
    <w:sig w:usb0="80000287" w:usb1="2A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6E4"/>
    <w:rsid w:val="000175B0"/>
    <w:rsid w:val="00041DB0"/>
    <w:rsid w:val="00131AE0"/>
    <w:rsid w:val="001616F6"/>
    <w:rsid w:val="001727C8"/>
    <w:rsid w:val="001D04D4"/>
    <w:rsid w:val="001E60CF"/>
    <w:rsid w:val="00246C10"/>
    <w:rsid w:val="002C24DB"/>
    <w:rsid w:val="00372042"/>
    <w:rsid w:val="0055456F"/>
    <w:rsid w:val="005928F9"/>
    <w:rsid w:val="005D1D8A"/>
    <w:rsid w:val="005E3A4B"/>
    <w:rsid w:val="00634A52"/>
    <w:rsid w:val="00634AF2"/>
    <w:rsid w:val="00646EA3"/>
    <w:rsid w:val="00660B42"/>
    <w:rsid w:val="00970FC9"/>
    <w:rsid w:val="00A47AFE"/>
    <w:rsid w:val="00B21E02"/>
    <w:rsid w:val="00BD24F6"/>
    <w:rsid w:val="00BE209D"/>
    <w:rsid w:val="00CB135B"/>
    <w:rsid w:val="00D346E4"/>
    <w:rsid w:val="00E2362B"/>
    <w:rsid w:val="00E8472C"/>
    <w:rsid w:val="00F652F6"/>
    <w:rsid w:val="0C356A53"/>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169</Words>
  <Characters>967</Characters>
  <Lines>8</Lines>
  <Paragraphs>2</Paragraphs>
  <TotalTime>0</TotalTime>
  <ScaleCrop>false</ScaleCrop>
  <LinksUpToDate>false</LinksUpToDate>
  <CharactersWithSpaces>1134</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2015-11-04T02:46:00Z</dcterms:created>
  <dc:creator>admin</dc:creator>
  <cp:lastModifiedBy>方慧娟</cp:lastModifiedBy>
  <dcterms:modified xsi:type="dcterms:W3CDTF">2015-11-16T08:15:33Z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